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/>
      </w:pPr>
      <w:r>
        <w:rPr>
          <w:color w:val="000000"/>
          <w:sz w:val="21"/>
          <w:b/>
          <w:szCs w:val="21"/>
          <w:bCs/>
          <w:rFonts w:cs="Arial"/>
        </w:rPr>
        <w:t>IRENA SENDLER - LA TERZA MADRE DEL GHETTO DI VARSAVIA</w:t>
      </w:r>
    </w:p>
    <w:p>
      <w:pPr>
        <w:pStyle w:val="style0"/>
        <w:jc w:val="center"/>
        <w:spacing w:after="0" w:before="0"/>
      </w:pPr>
      <w:r>
        <w:rPr>
          <w:color w:val="000000"/>
          <w:sz w:val="21"/>
          <w:b/>
          <w:szCs w:val="21"/>
          <w:bCs/>
          <w:rFonts w:cs="Arial"/>
        </w:rPr>
        <w:t>opera scritta e diretta da Roberto Giordano</w:t>
      </w:r>
    </w:p>
    <w:p>
      <w:pPr>
        <w:pStyle w:val="style0"/>
        <w:jc w:val="center"/>
        <w:spacing w:after="0" w:before="0"/>
      </w:pPr>
      <w:r>
        <w:rPr/>
      </w:r>
    </w:p>
    <w:p>
      <w:pPr>
        <w:pStyle w:val="style46"/>
        <w:jc w:val="center"/>
        <w:spacing w:after="0" w:before="0"/>
      </w:pPr>
      <w:r>
        <w:rPr>
          <w:color w:val="000000"/>
          <w:sz w:val="21"/>
          <w:i/>
          <w:b w:val="off"/>
          <w:szCs w:val="21"/>
          <w:iCs/>
          <w:bCs w:val="off"/>
        </w:rPr>
        <w:t>Mercoledì 25 gennaio ore 10.30</w:t>
      </w:r>
    </w:p>
    <w:p>
      <w:pPr>
        <w:pStyle w:val="style46"/>
        <w:jc w:val="center"/>
        <w:spacing w:after="0" w:before="0"/>
      </w:pPr>
      <w:r>
        <w:rPr>
          <w:color w:val="000000"/>
          <w:sz w:val="21"/>
          <w:i/>
          <w:b w:val="off"/>
          <w:szCs w:val="21"/>
          <w:iCs/>
          <w:bCs w:val="off"/>
        </w:rPr>
        <w:t>Sala del Capitolo – San Domenico Maggiore</w:t>
      </w:r>
    </w:p>
    <w:p>
      <w:pPr>
        <w:pStyle w:val="style46"/>
        <w:spacing w:after="0" w:before="0"/>
      </w:pPr>
      <w:r>
        <w:rPr>
          <w:color w:val="000000"/>
          <w:sz w:val="21"/>
          <w:b w:val="off"/>
          <w:szCs w:val="21"/>
          <w:bCs w:val="off"/>
        </w:rPr>
      </w:r>
    </w:p>
    <w:p>
      <w:pPr>
        <w:pStyle w:val="style46"/>
        <w:jc w:val="center"/>
        <w:spacing w:after="0" w:before="0"/>
      </w:pPr>
      <w:r>
        <w:rPr>
          <w:color w:val="000000"/>
          <w:sz w:val="21"/>
          <w:b w:val="off"/>
          <w:szCs w:val="21"/>
          <w:bCs w:val="off"/>
        </w:rPr>
        <w:t xml:space="preserve">Con Federica Aiello (Irena Sendler), Chiara Esposito, Luca Gallone, Greta Giordano, </w:t>
        <w:br/>
        <w:t xml:space="preserve">Roberto Giordano, e David Glavaš Weinberger.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 xml:space="preserve">Lo spettacolo, promosso dall’Assessorato alla Cultura e al Turismo del Comune di Napoli, si propone di commemorare, con una rivisitazione storica sotto forma di spettacolo teatrale, la vita e l’operato di una donna esemplare, l’infermiera polacca Irena Sendler. Uno dei messaggi salienti per il pubblico è il richiamo al Valore dei Giusti, spesso passati inosservati dalla Storia o fin troppo tardi riemersi per la memoria dell’umanità.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 xml:space="preserve">In Italia la storia di Irena Sendler è quasi completamente sconosciuta.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>Il debutto a Napoli dello spettacolo teatrale a lei dedicato vuole essere un contributo artistico per la Città alla Memoria della Shoah.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 xml:space="preserve">Il Talmud dice: “Chi salva una vita, salva il mondo intero.”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 xml:space="preserve">Irena Sendler ha salvato più di duemila mondi e da ognuno di loro fu chiamata sempre: “La Terza Madre”.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21"/>
          <w:szCs w:val="21"/>
        </w:rPr>
        <w:t>Irena Sendler, alla sua proclamazione di “Giusta tra le Nazioni” nel 1965, di Sé disse:</w:t>
      </w:r>
    </w:p>
    <w:p>
      <w:pPr>
        <w:pStyle w:val="style45"/>
        <w:jc w:val="both"/>
        <w:shd w:fill="FFFFFF"/>
        <w:spacing w:after="28" w:before="28" w:line="336" w:lineRule="atLeast"/>
      </w:pPr>
      <w:r>
        <w:rPr>
          <w:color w:val="000000"/>
          <w:sz w:val="21"/>
          <w:i/>
          <w:szCs w:val="21"/>
        </w:rPr>
        <w:t xml:space="preserve"> </w:t>
      </w:r>
      <w:r>
        <w:rPr>
          <w:color w:val="000000"/>
          <w:sz w:val="21"/>
          <w:i/>
          <w:szCs w:val="21"/>
        </w:rPr>
        <w:t>« Ogni bambino salvato con il mio aiuto è la giustificazione della mia esistenza su questa terra, e non un titolo di gloria »</w:t>
      </w:r>
    </w:p>
    <w:p>
      <w:pPr>
        <w:pStyle w:val="style45"/>
        <w:jc w:val="both"/>
        <w:shd w:fill="FFFFFF"/>
        <w:spacing w:after="28" w:before="28" w:line="336" w:lineRule="atLeast"/>
      </w:pPr>
      <w:r>
        <w:rPr>
          <w:i/>
          <w:b/>
        </w:rPr>
      </w:r>
    </w:p>
    <w:p>
      <w:pPr>
        <w:pStyle w:val="style45"/>
        <w:jc w:val="both"/>
        <w:shd w:fill="FFFFFF"/>
        <w:spacing w:after="28" w:before="28" w:line="336" w:lineRule="atLeast"/>
      </w:pPr>
      <w:r>
        <w:rPr>
          <w:color w:val="000000"/>
          <w:sz w:val="21"/>
          <w:i/>
          <w:b/>
          <w:szCs w:val="21"/>
        </w:rPr>
        <w:t xml:space="preserve">Biografia di Irena Sendler: </w:t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  <w:t>Irena Sendler, figlia di un medico, nacque il 15 febbraio 1910 a Varsavia e morì a Varsavia il 12 maggio 2008. Fu un’infermiera e assistente sociale polacca, che solo in tarda età ebbe il riconoscimento per aver salvato circa 2.500 bambini</w:t>
      </w:r>
      <w:r>
        <w:rPr>
          <w:color w:val="000000"/>
          <w:sz w:val="20"/>
          <w:i/>
          <w:szCs w:val="20"/>
        </w:rPr>
        <w:t> </w:t>
      </w:r>
      <w:hyperlink r:id="rId2">
        <w:r>
          <w:rPr>
            <w:color w:val="000000"/>
            <w:sz w:val="20"/>
            <w:i/>
            <w:u w:val="none"/>
            <w:szCs w:val="20"/>
            <w:rStyle w:val="style16"/>
          </w:rPr>
          <w:t>ebrei</w:t>
        </w:r>
      </w:hyperlink>
      <w:r>
        <w:rPr>
          <w:color w:val="000000"/>
          <w:sz w:val="20"/>
          <w:i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i/>
          <w:szCs w:val="20"/>
        </w:rPr>
        <w:t>I più piccoli vennero portati fuori dal Ghetto dentro ambulanze o altri veicoli (con un furgone riuscì a portare fuori alcuni neonati nascondendoli nel fondo di una cassa per attrezzi o chiusi in sacchi di</w:t>
      </w:r>
      <w:r>
        <w:rPr>
          <w:color w:val="000000"/>
          <w:sz w:val="20"/>
          <w:i/>
          <w:szCs w:val="20"/>
        </w:rPr>
        <w:t> </w:t>
      </w:r>
      <w:hyperlink r:id="rId3">
        <w:r>
          <w:rPr>
            <w:color w:val="000000"/>
            <w:sz w:val="20"/>
            <w:i/>
            <w:u w:val="none"/>
            <w:szCs w:val="20"/>
            <w:rStyle w:val="style16"/>
          </w:rPr>
          <w:t>juta</w:t>
        </w:r>
      </w:hyperlink>
      <w:r>
        <w:rPr>
          <w:color w:val="000000"/>
          <w:sz w:val="20"/>
          <w:szCs w:val="20"/>
        </w:rPr>
        <w:t>)</w:t>
      </w:r>
      <w:r>
        <w:rPr>
          <w:color w:val="000000"/>
          <w:sz w:val="20"/>
          <w:i/>
          <w:szCs w:val="20"/>
        </w:rPr>
        <w:t>. Fuori dal ghetto, la Sendler forniva ai bambini dei falsi documenti con nomi cristiani, e li portava nella campagna, dove li affidava a famiglie cristiane, oppure in alcuni conventi cattolici come quello delle Piccole Ancelle dell'Immacolata a</w:t>
      </w:r>
      <w:r>
        <w:rPr>
          <w:color w:val="000000"/>
          <w:sz w:val="20"/>
          <w:i/>
          <w:szCs w:val="20"/>
        </w:rPr>
        <w:t> </w:t>
      </w:r>
      <w:hyperlink r:id="rId4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Turkowice</w:t>
        </w:r>
      </w:hyperlink>
      <w:r>
        <w:rPr>
          <w:color w:val="000000"/>
          <w:sz w:val="20"/>
          <w:i/>
          <w:szCs w:val="20"/>
        </w:rPr>
        <w:t> </w:t>
      </w:r>
      <w:r>
        <w:rPr>
          <w:color w:val="000000"/>
          <w:sz w:val="20"/>
          <w:i/>
          <w:szCs w:val="20"/>
        </w:rPr>
        <w:t>e</w:t>
      </w:r>
      <w:r>
        <w:rPr>
          <w:color w:val="000000"/>
          <w:sz w:val="20"/>
          <w:i/>
          <w:szCs w:val="20"/>
        </w:rPr>
        <w:t> </w:t>
      </w:r>
      <w:hyperlink r:id="rId5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Chotomów</w:t>
        </w:r>
      </w:hyperlink>
      <w:r>
        <w:rPr>
          <w:color w:val="000000"/>
          <w:sz w:val="20"/>
          <w:i/>
          <w:szCs w:val="20"/>
        </w:rPr>
        <w:t>. La Sendler annotò i veri nomi dei bambini accanto a quelli falsi e seppellì gli elenchi dentro bottiglie e vasetti di marmellata sotto un albero del suo giardino, nella speranza di poter un giorno riconsegnare i bambini ai loro genitori.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i/>
          <w:szCs w:val="20"/>
        </w:rPr>
        <w:t>Nell'ottobre</w:t>
      </w:r>
      <w:r>
        <w:rPr>
          <w:color w:val="000000"/>
          <w:sz w:val="20"/>
          <w:i/>
          <w:szCs w:val="20"/>
        </w:rPr>
        <w:t> </w:t>
      </w:r>
      <w:hyperlink r:id="rId6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1943</w:t>
        </w:r>
      </w:hyperlink>
      <w:r>
        <w:rPr>
          <w:color w:val="000000"/>
          <w:sz w:val="20"/>
          <w:i/>
          <w:szCs w:val="20"/>
        </w:rPr>
        <w:t> </w:t>
      </w:r>
      <w:r>
        <w:rPr>
          <w:color w:val="000000"/>
          <w:sz w:val="20"/>
          <w:i/>
          <w:szCs w:val="20"/>
        </w:rPr>
        <w:t>la Sendler venne arrestata dalla</w:t>
      </w:r>
      <w:r>
        <w:rPr>
          <w:color w:val="000000"/>
          <w:sz w:val="20"/>
          <w:i/>
          <w:szCs w:val="20"/>
        </w:rPr>
        <w:t> </w:t>
      </w:r>
      <w:hyperlink r:id="rId7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Gestapo</w:t>
        </w:r>
      </w:hyperlink>
      <w:r>
        <w:rPr>
          <w:color w:val="000000"/>
          <w:sz w:val="20"/>
          <w:i/>
          <w:szCs w:val="20"/>
        </w:rPr>
        <w:t>: fu sottoposta a pesanti</w:t>
      </w:r>
      <w:r>
        <w:rPr>
          <w:color w:val="000000"/>
          <w:sz w:val="20"/>
          <w:i/>
          <w:szCs w:val="20"/>
        </w:rPr>
        <w:t> </w:t>
      </w:r>
      <w:hyperlink r:id="rId8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torture</w:t>
        </w:r>
      </w:hyperlink>
      <w:r>
        <w:rPr>
          <w:color w:val="000000"/>
          <w:sz w:val="20"/>
          <w:i/>
          <w:szCs w:val="20"/>
        </w:rPr>
        <w:t> </w:t>
      </w:r>
      <w:r>
        <w:rPr>
          <w:color w:val="000000"/>
          <w:sz w:val="20"/>
          <w:i/>
          <w:szCs w:val="20"/>
        </w:rPr>
        <w:t>(le vennero fratturate le gambe, tanto che rimase inferma a vita), ma non rivelò il proprio segreto. Fu condannata a morte, ma venne salvata dalla rete della resistenza polacca attraverso l'organizzazione clandestina</w:t>
      </w:r>
      <w:r>
        <w:rPr>
          <w:color w:val="000000"/>
          <w:sz w:val="20"/>
          <w:i/>
          <w:szCs w:val="20"/>
        </w:rPr>
        <w:t> </w:t>
      </w:r>
      <w:r>
        <w:rPr>
          <w:color w:val="000000"/>
          <w:sz w:val="20"/>
          <w:i/>
          <w:szCs w:val="20"/>
          <w:iCs/>
        </w:rPr>
        <w:t>Żegota</w:t>
      </w:r>
      <w:r>
        <w:rPr>
          <w:color w:val="000000"/>
          <w:sz w:val="20"/>
          <w:i/>
          <w:szCs w:val="20"/>
        </w:rPr>
        <w:t xml:space="preserve">, che riuscì a corrompere con denaro i soldati tedeschi che avrebbero dovuto condurla all'esecuzione. </w:t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  <w:t>La storia di Irena Sendler è rimasta sepolta per 60 anni. Pur essendo stata partigiana, la Sendler non condivise mai la politica del</w:t>
      </w:r>
      <w:r>
        <w:rPr>
          <w:color w:val="000000"/>
          <w:sz w:val="20"/>
          <w:i/>
          <w:szCs w:val="20"/>
        </w:rPr>
        <w:t> </w:t>
      </w:r>
      <w:hyperlink r:id="rId9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Partito Comunista polacco</w:t>
        </w:r>
      </w:hyperlink>
      <w:r>
        <w:rPr>
          <w:color w:val="000000"/>
          <w:sz w:val="20"/>
          <w:i/>
          <w:szCs w:val="20"/>
        </w:rPr>
        <w:t>. Nel</w:t>
      </w:r>
      <w:r>
        <w:rPr>
          <w:color w:val="000000"/>
          <w:sz w:val="20"/>
          <w:i/>
          <w:szCs w:val="20"/>
        </w:rPr>
        <w:t> </w:t>
      </w:r>
      <w:hyperlink r:id="rId10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1965</w:t>
        </w:r>
      </w:hyperlink>
      <w:r>
        <w:rPr>
          <w:color w:val="000000"/>
          <w:sz w:val="20"/>
          <w:i/>
          <w:szCs w:val="20"/>
        </w:rPr>
        <w:t xml:space="preserve"> venne riconosciuta dallo</w:t>
      </w:r>
      <w:r>
        <w:rPr>
          <w:color w:val="000000"/>
          <w:sz w:val="20"/>
          <w:i/>
          <w:szCs w:val="20"/>
        </w:rPr>
        <w:t> </w:t>
      </w:r>
      <w:hyperlink r:id="rId11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 xml:space="preserve">Yad Vashem di Gerusalemme </w:t>
        </w:r>
      </w:hyperlink>
      <w:r>
        <w:rPr>
          <w:color w:val="000000"/>
          <w:sz w:val="20"/>
          <w:i/>
          <w:szCs w:val="20"/>
        </w:rPr>
        <w:t>come una dei</w:t>
      </w:r>
      <w:r>
        <w:rPr>
          <w:color w:val="000000"/>
          <w:sz w:val="20"/>
          <w:i/>
          <w:szCs w:val="20"/>
        </w:rPr>
        <w:t> </w:t>
      </w:r>
      <w:hyperlink r:id="rId12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Giusti tra le Nazioni</w:t>
        </w:r>
      </w:hyperlink>
      <w:r>
        <w:rPr>
          <w:color w:val="000000"/>
          <w:sz w:val="20"/>
          <w:i/>
          <w:szCs w:val="20"/>
        </w:rPr>
        <w:t>. Solo in quell'occasione il governo comunista le diede il permesso di uscire dal paese per ricevere il riconoscimento in</w:t>
      </w:r>
      <w:r>
        <w:rPr>
          <w:color w:val="000000"/>
          <w:sz w:val="20"/>
          <w:i/>
          <w:szCs w:val="20"/>
        </w:rPr>
        <w:t> </w:t>
      </w:r>
      <w:hyperlink r:id="rId13">
        <w:r>
          <w:rPr>
            <w:color w:val="000000"/>
            <w:sz w:val="20"/>
            <w:i/>
            <w:u w:val="none"/>
            <w:shd w:fill="FFFFFF"/>
            <w:szCs w:val="20"/>
            <w:rStyle w:val="style16"/>
          </w:rPr>
          <w:t>Israele</w:t>
        </w:r>
      </w:hyperlink>
      <w:r>
        <w:rPr>
          <w:color w:val="000000"/>
          <w:sz w:val="20"/>
          <w:i/>
          <w:szCs w:val="20"/>
        </w:rPr>
        <w:t>.</w:t>
      </w:r>
      <w:r>
        <w:rPr>
          <w:color w:val="000000"/>
          <w:sz w:val="20"/>
          <w:szCs w:val="20"/>
          <w:rFonts w:cs="Arial"/>
        </w:rPr>
        <w:t xml:space="preserve"> </w:t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  <w:t>Avvenne grazie alle ricerche degli studenti di una scuola superiore del Kansas nel 1999 che la storia della vita della Sendler fu riscoperta. Furono proprio loro a lanciare un progetto per fare conoscere la vita e l’operato di Irena Sendler a livello internazionale.</w:t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  <w:t>Nel 2003 papa Giovanni Paolo II le inviò una lettera personale elogiandola per i suoi sforzi nella resistenza polacca. Il 10 ottobre 2003 le fu conferita la più altra decorazione civile della Polonia: l’Ordine dell’Acquila Bianca e il Premio Jan Karski “Per il Coraggio e il Cuore”.</w:t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</w:r>
    </w:p>
    <w:p>
      <w:pPr>
        <w:pStyle w:val="style45"/>
        <w:jc w:val="both"/>
        <w:shd w:fill="FFFFFF"/>
        <w:spacing w:after="28" w:before="28" w:line="100" w:lineRule="atLeast"/>
      </w:pPr>
      <w:r>
        <w:rPr>
          <w:color w:val="000000"/>
          <w:sz w:val="20"/>
          <w:i/>
          <w:szCs w:val="20"/>
        </w:rPr>
        <w:t>Fino all’ultimo suo respiro non ha fatto altro che ripetere: « Ogni bambino salvato con il mio aiuto è la giustificazione della mia esistenza su questa terra, e non un titolo di gloria » ed anche: “Avrei potuto fare di più. Questo rimpianto non mi lascia mai.”</w:t>
      </w:r>
    </w:p>
    <w:sectPr>
      <w:formProt w:val="off"/>
      <w:pgSz w:h="16838" w:w="11906"/>
      <w:textDirection w:val="lrTb"/>
      <w:pgNumType w:fmt="decimal"/>
      <w:type w:val="nextPage"/>
      <w:pgMar w:bottom="1134" w:left="1134" w:right="1134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finit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Times New Roman" w:eastAsia="Calibri" w:hAnsi="Calibri"/>
      <w:lang w:bidi="ar-SA" w:eastAsia="en-US" w:val="it-IT"/>
    </w:rPr>
  </w:style>
  <w:style w:styleId="style15" w:type="character">
    <w:name w:val="Default Paragraph Font"/>
    <w:next w:val="style15"/>
    <w:rPr/>
  </w:style>
  <w:style w:styleId="style16" w:type="character">
    <w:name w:val="Collegamento Internet"/>
    <w:basedOn w:val="style15"/>
    <w:next w:val="style16"/>
    <w:rPr>
      <w:color w:val="0000FF"/>
      <w:u w:val="single"/>
      <w:lang w:bidi="it-IT" w:eastAsia="it-IT" w:val="it-IT"/>
    </w:rPr>
  </w:style>
  <w:style w:styleId="style17" w:type="character">
    <w:name w:val="apple-converted-space"/>
    <w:basedOn w:val="style15"/>
    <w:next w:val="style17"/>
    <w:rPr/>
  </w:style>
  <w:style w:styleId="style18" w:type="character">
    <w:name w:val="Enfasi forte"/>
    <w:basedOn w:val="style15"/>
    <w:next w:val="style18"/>
    <w:rPr>
      <w:b/>
      <w:bCs/>
    </w:rPr>
  </w:style>
  <w:style w:styleId="style19" w:type="character">
    <w:name w:val="Corpo del testo 3 Carattere"/>
    <w:basedOn w:val="style15"/>
    <w:next w:val="style19"/>
    <w:rPr/>
  </w:style>
  <w:style w:styleId="style20" w:type="character">
    <w:name w:val="Testo fumetto Carattere"/>
    <w:basedOn w:val="style15"/>
    <w:next w:val="style20"/>
    <w:rPr/>
  </w:style>
  <w:style w:styleId="style21" w:type="character">
    <w:name w:val="ListLabel 1"/>
    <w:next w:val="style21"/>
    <w:rPr/>
  </w:style>
  <w:style w:styleId="style22" w:type="character">
    <w:name w:val="ListLabel 2"/>
    <w:next w:val="style22"/>
    <w:rPr/>
  </w:style>
  <w:style w:styleId="style23" w:type="character">
    <w:name w:val="ListLabel 3"/>
    <w:next w:val="style23"/>
    <w:rPr/>
  </w:style>
  <w:style w:styleId="style24" w:type="character">
    <w:name w:val="ListLabel 4"/>
    <w:next w:val="style24"/>
    <w:rPr/>
  </w:style>
  <w:style w:styleId="style25" w:type="character">
    <w:name w:val="ListLabel 5"/>
    <w:next w:val="style25"/>
    <w:rPr/>
  </w:style>
  <w:style w:styleId="style26" w:type="character">
    <w:name w:val="ListLabel 6"/>
    <w:next w:val="style26"/>
    <w:rPr/>
  </w:style>
  <w:style w:styleId="style27" w:type="character">
    <w:name w:val="ListLabel 7"/>
    <w:next w:val="style27"/>
    <w:rPr/>
  </w:style>
  <w:style w:styleId="style28" w:type="character">
    <w:name w:val="ListLabel 8"/>
    <w:next w:val="style28"/>
    <w:rPr/>
  </w:style>
  <w:style w:styleId="style29" w:type="character">
    <w:name w:val="ListLabel 9"/>
    <w:next w:val="style29"/>
    <w:rPr/>
  </w:style>
  <w:style w:styleId="style30" w:type="character">
    <w:name w:val="ListLabel 10"/>
    <w:next w:val="style30"/>
    <w:rPr/>
  </w:style>
  <w:style w:styleId="style31" w:type="character">
    <w:name w:val="ListLabel 11"/>
    <w:next w:val="style31"/>
    <w:rPr/>
  </w:style>
  <w:style w:styleId="style32" w:type="character">
    <w:name w:val="ListLabel 12"/>
    <w:next w:val="style32"/>
    <w:rPr/>
  </w:style>
  <w:style w:styleId="style33" w:type="character">
    <w:name w:val="ListLabel 13"/>
    <w:next w:val="style33"/>
    <w:rPr/>
  </w:style>
  <w:style w:styleId="style34" w:type="character">
    <w:name w:val="ListLabel 14"/>
    <w:next w:val="style34"/>
    <w:rPr/>
  </w:style>
  <w:style w:styleId="style35" w:type="character">
    <w:name w:val="ListLabel 15"/>
    <w:next w:val="style35"/>
    <w:rPr/>
  </w:style>
  <w:style w:styleId="style36" w:type="character">
    <w:name w:val="ListLabel 16"/>
    <w:next w:val="style36"/>
    <w:rPr/>
  </w:style>
  <w:style w:styleId="style37" w:type="paragraph">
    <w:name w:val="Intestazione"/>
    <w:basedOn w:val="style0"/>
    <w:next w:val="style3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38" w:type="paragraph">
    <w:name w:val="Corpo testo"/>
    <w:basedOn w:val="style0"/>
    <w:next w:val="style38"/>
    <w:pPr>
      <w:spacing w:after="140" w:before="0" w:line="288" w:lineRule="atLeast"/>
    </w:pPr>
    <w:rPr/>
  </w:style>
  <w:style w:styleId="style39" w:type="paragraph">
    <w:name w:val="Elenco"/>
    <w:basedOn w:val="style38"/>
    <w:next w:val="style39"/>
    <w:pPr/>
    <w:rPr>
      <w:rFonts w:cs="FreeSans"/>
    </w:rPr>
  </w:style>
  <w:style w:styleId="style40" w:type="paragraph">
    <w:name w:val="Didascalia"/>
    <w:basedOn w:val="style0"/>
    <w:next w:val="style40"/>
    <w:pPr>
      <w:suppressLineNumbers/>
      <w:spacing w:after="120" w:before="120"/>
    </w:pPr>
    <w:rPr>
      <w:sz w:val="24"/>
      <w:i/>
      <w:szCs w:val="24"/>
      <w:iCs/>
      <w:rFonts w:cs="FreeSans"/>
    </w:rPr>
  </w:style>
  <w:style w:styleId="style41" w:type="paragraph">
    <w:name w:val="Indice"/>
    <w:basedOn w:val="style0"/>
    <w:next w:val="style41"/>
    <w:pPr>
      <w:suppressLineNumbers/>
    </w:pPr>
    <w:rPr>
      <w:rFonts w:cs="FreeSans"/>
    </w:rPr>
  </w:style>
  <w:style w:styleId="style42" w:type="paragraph">
    <w:name w:val="Titolo"/>
    <w:basedOn w:val="style0"/>
    <w:next w:val="style43"/>
    <w:pPr>
      <w:jc w:val="center"/>
      <w:keepNext/>
      <w:spacing w:after="120" w:before="240"/>
    </w:pPr>
    <w:rPr>
      <w:sz w:val="28"/>
      <w:b/>
      <w:szCs w:val="28"/>
      <w:bCs/>
      <w:rFonts w:ascii="Liberation Sans" w:cs="FreeSans" w:eastAsia="Noto Sans CJK SC Regular" w:hAnsi="Liberation Sans"/>
    </w:rPr>
  </w:style>
  <w:style w:styleId="style43" w:type="paragraph">
    <w:name w:val="Sottotitolo"/>
    <w:basedOn w:val="style37"/>
    <w:next w:val="style38"/>
    <w:pPr>
      <w:jc w:val="center"/>
    </w:pPr>
    <w:rPr>
      <w:sz w:val="28"/>
      <w:i/>
      <w:szCs w:val="28"/>
      <w:iCs/>
    </w:rPr>
  </w:style>
  <w:style w:styleId="style44" w:type="paragraph">
    <w:name w:val="List Paragraph"/>
    <w:basedOn w:val="style0"/>
    <w:next w:val="style44"/>
    <w:pPr/>
    <w:rPr/>
  </w:style>
  <w:style w:styleId="style45" w:type="paragraph">
    <w:name w:val="Normal (Web)"/>
    <w:basedOn w:val="style0"/>
    <w:next w:val="style45"/>
    <w:pPr/>
    <w:rPr/>
  </w:style>
  <w:style w:styleId="style46" w:type="paragraph">
    <w:name w:val="Body Text 3"/>
    <w:basedOn w:val="style0"/>
    <w:next w:val="style46"/>
    <w:pPr/>
    <w:rPr/>
  </w:style>
  <w:style w:styleId="style47" w:type="paragraph">
    <w:name w:val="Balloon Text"/>
    <w:basedOn w:val="style0"/>
    <w:next w:val="style4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t.wikipedia.org/wiki/Ebrei" TargetMode="External"/><Relationship Id="rId3" Type="http://schemas.openxmlformats.org/officeDocument/2006/relationships/hyperlink" Target="https://it.wikipedia.org/wiki/Juta" TargetMode="External"/><Relationship Id="rId4" Type="http://schemas.openxmlformats.org/officeDocument/2006/relationships/hyperlink" Target="https://it.wikipedia.org/w/index.php?title=Turkowice&amp;action=edit&amp;redlink=1" TargetMode="External"/><Relationship Id="rId5" Type="http://schemas.openxmlformats.org/officeDocument/2006/relationships/hyperlink" Target="https://it.wikipedia.org/w/index.php?title=Chotom&#243;w&amp;action=edit&amp;redlink=1" TargetMode="External"/><Relationship Id="rId6" Type="http://schemas.openxmlformats.org/officeDocument/2006/relationships/hyperlink" Target="https://it.wikipedia.org/wiki/1943" TargetMode="External"/><Relationship Id="rId7" Type="http://schemas.openxmlformats.org/officeDocument/2006/relationships/hyperlink" Target="https://it.wikipedia.org/wiki/Gestapo" TargetMode="External"/><Relationship Id="rId8" Type="http://schemas.openxmlformats.org/officeDocument/2006/relationships/hyperlink" Target="https://it.wikipedia.org/wiki/Tortura" TargetMode="External"/><Relationship Id="rId9" Type="http://schemas.openxmlformats.org/officeDocument/2006/relationships/hyperlink" Target="https://it.wikipedia.org/wiki/Partito_Operaio_Unificato_Polacco" TargetMode="External"/><Relationship Id="rId10" Type="http://schemas.openxmlformats.org/officeDocument/2006/relationships/hyperlink" Target="https://it.wikipedia.org/wiki/1965" TargetMode="External"/><Relationship Id="rId11" Type="http://schemas.openxmlformats.org/officeDocument/2006/relationships/hyperlink" Target="https://it.wikipedia.org/wiki/Yad_Vashem" TargetMode="External"/><Relationship Id="rId12" Type="http://schemas.openxmlformats.org/officeDocument/2006/relationships/hyperlink" Target="https://it.wikipedia.org/wiki/Giusti_tra_le_nazioni" TargetMode="External"/><Relationship Id="rId13" Type="http://schemas.openxmlformats.org/officeDocument/2006/relationships/hyperlink" Target="https://it.wikipedia.org/wiki/Israele" TargetMode="External"/><Relationship Id="rId1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LibreOffice/5.1.4.2$Linux_x86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2017-01-18T08:27:00.00Z</dcterms:created>
  <dc:creator>RobyFedeGreta</dc:creator>
  <dc:language>it</dc:language>
  <cp:lastPrinted>2002-01-01T01:15:03.00Z</cp:lastPrinted>
  <dcterms:modified xsi:type="dcterms:W3CDTF">2017-01-19T13:39:55.00Z</dcterms:modified>
  <cp:revision>7</cp:revision>
</cp:coreProperties>
</file>