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DICHIARAZIONE SOSTITUTIVA DI ATTO NOTORIO</w:t>
      </w:r>
    </w:p>
    <w:p>
      <w:pPr>
        <w:spacing w:before="0" w:after="0" w:line="240"/>
        <w:ind w:right="0" w:left="0" w:firstLine="0"/>
        <w:jc w:val="center"/>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DI INSUSSISTENZA DI CAUSE DI INCOMPATIBILITÀ </w:t>
      </w:r>
    </w:p>
    <w:p>
      <w:pPr>
        <w:spacing w:before="0" w:after="0" w:line="240"/>
        <w:ind w:right="0" w:left="0" w:firstLine="0"/>
        <w:jc w:val="center"/>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AI SENSI DEL D. LGS. N. 39 DELL’8 APRILE 2013</w:t>
      </w:r>
    </w:p>
    <w:p>
      <w:pPr>
        <w:spacing w:before="0" w:after="0" w:line="240"/>
        <w:ind w:right="0" w:left="0" w:firstLine="0"/>
        <w:jc w:val="left"/>
        <w:rPr>
          <w:rFonts w:ascii="Garamond" w:hAnsi="Garamond" w:cs="Garamond" w:eastAsia="Garamond"/>
          <w:color w:val="auto"/>
          <w:spacing w:val="0"/>
          <w:position w:val="0"/>
          <w:sz w:val="24"/>
          <w:shd w:fill="auto" w:val="clear"/>
        </w:rPr>
      </w:pPr>
    </w:p>
    <w:p>
      <w:pPr>
        <w:spacing w:before="0" w:after="0" w:line="24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p>
    <w:p>
      <w:pPr>
        <w:suppressAutoHyphens w:val="true"/>
        <w:spacing w:before="0" w:after="0" w:line="240"/>
        <w:ind w:right="0" w:left="0" w:firstLine="0"/>
        <w:jc w:val="center"/>
        <w:rPr>
          <w:rFonts w:ascii="Garamond" w:hAnsi="Garamond" w:cs="Garamond" w:eastAsia="Garamond"/>
          <w:i/>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Il sottoscritto </w:t>
      </w:r>
      <w:r>
        <w:rPr>
          <w:rFonts w:ascii="Garamond" w:hAnsi="Garamond" w:cs="Garamond" w:eastAsia="Garamond"/>
          <w:b/>
          <w:color w:val="auto"/>
          <w:spacing w:val="0"/>
          <w:position w:val="0"/>
          <w:sz w:val="24"/>
          <w:shd w:fill="auto" w:val="clear"/>
        </w:rPr>
        <w:t xml:space="preserve">Domenico Annunziata</w:t>
      </w:r>
      <w:r>
        <w:rPr>
          <w:rFonts w:ascii="Garamond" w:hAnsi="Garamond" w:cs="Garamond" w:eastAsia="Garamond"/>
          <w:color w:val="auto"/>
          <w:spacing w:val="0"/>
          <w:position w:val="0"/>
          <w:sz w:val="24"/>
          <w:shd w:fill="auto" w:val="clear"/>
        </w:rPr>
        <w:t xml:space="preserve">, nato a Napoli, il 01/02/1957 in riferimento all’incarico di </w:t>
      </w:r>
      <w:r>
        <w:rPr>
          <w:rFonts w:ascii="Garamond" w:hAnsi="Garamond" w:cs="Garamond" w:eastAsia="Garamond"/>
          <w:b/>
          <w:color w:val="auto"/>
          <w:spacing w:val="0"/>
          <w:position w:val="0"/>
          <w:sz w:val="24"/>
          <w:shd w:fill="auto" w:val="clear"/>
        </w:rPr>
        <w:t xml:space="preserve">Dirigente del Servizio Ufficio Stampa del Comune di Napoli</w:t>
      </w:r>
      <w:r>
        <w:rPr>
          <w:rFonts w:ascii="Garamond" w:hAnsi="Garamond" w:cs="Garamond" w:eastAsia="Garamond"/>
          <w:color w:val="auto"/>
          <w:spacing w:val="0"/>
          <w:position w:val="0"/>
          <w:sz w:val="24"/>
          <w:shd w:fill="auto" w:val="clear"/>
        </w:rPr>
        <w:t xml:space="preserve">, presa visione della normativa introdotta dal D. Lgs 8/04/2013 n. 39</w:t>
      </w:r>
      <w:r>
        <w:rPr>
          <w:rFonts w:ascii="Arial" w:hAnsi="Arial" w:cs="Arial" w:eastAsia="Arial"/>
          <w:color w:val="auto"/>
          <w:spacing w:val="0"/>
          <w:position w:val="0"/>
          <w:sz w:val="22"/>
          <w:shd w:fill="auto" w:val="clear"/>
        </w:rPr>
        <w:t xml:space="preserve">, </w:t>
      </w:r>
      <w:r>
        <w:rPr>
          <w:rFonts w:ascii="Garamond" w:hAnsi="Garamond" w:cs="Garamond" w:eastAsia="Garamond"/>
          <w:color w:val="auto"/>
          <w:spacing w:val="0"/>
          <w:position w:val="0"/>
          <w:sz w:val="24"/>
          <w:shd w:fill="auto" w:val="clear"/>
        </w:rPr>
        <w:t xml:space="preserve">sotto la propria responsabilità, ai sensi degli art. 46 e 47 del D.P.R. 445/2000, consapevole della sanzione dell’inconferibilità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pPr>
        <w:spacing w:before="0" w:after="0" w:line="360"/>
        <w:ind w:right="0" w:left="0" w:firstLine="0"/>
        <w:jc w:val="center"/>
        <w:rPr>
          <w:rFonts w:ascii="Garamond" w:hAnsi="Garamond" w:cs="Garamond" w:eastAsia="Garamond"/>
          <w:b/>
          <w:color w:val="auto"/>
          <w:spacing w:val="0"/>
          <w:position w:val="0"/>
          <w:sz w:val="24"/>
          <w:shd w:fill="auto" w:val="clear"/>
        </w:rPr>
      </w:pPr>
    </w:p>
    <w:p>
      <w:pPr>
        <w:spacing w:before="0" w:after="0" w:line="360"/>
        <w:ind w:right="0" w:left="0" w:firstLine="0"/>
        <w:jc w:val="center"/>
        <w:rPr>
          <w:rFonts w:ascii="Garamond" w:hAnsi="Garamond" w:cs="Garamond" w:eastAsia="Garamond"/>
          <w:b/>
          <w:color w:val="auto"/>
          <w:spacing w:val="0"/>
          <w:position w:val="0"/>
          <w:sz w:val="24"/>
          <w:shd w:fill="auto" w:val="clear"/>
        </w:rPr>
      </w:pP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D I C H I A R A</w:t>
      </w:r>
    </w:p>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32"/>
          <w:shd w:fill="auto" w:val="clear"/>
        </w:rPr>
        <w:t xml:space="preserve">X</w:t>
      </w:r>
      <w:r>
        <w:rPr>
          <w:rFonts w:ascii="Garamond" w:hAnsi="Garamond" w:cs="Garamond" w:eastAsia="Garamond"/>
          <w:color w:val="auto"/>
          <w:spacing w:val="0"/>
          <w:position w:val="0"/>
          <w:sz w:val="32"/>
          <w:shd w:fill="auto" w:val="clear"/>
        </w:rPr>
        <w:t xml:space="preserve"> </w:t>
      </w:r>
      <w:r>
        <w:rPr>
          <w:rFonts w:ascii="Garamond" w:hAnsi="Garamond" w:cs="Garamond" w:eastAsia="Garamond"/>
          <w:color w:val="auto"/>
          <w:spacing w:val="0"/>
          <w:position w:val="0"/>
          <w:sz w:val="24"/>
          <w:shd w:fill="auto" w:val="clear"/>
        </w:rPr>
        <w:t xml:space="preserve">ai sensi dell’art. 20 del D. Lgs. 8 aprile 2013, n. 39, l’insussistenza di cause di incompatibilità dell’incarico previste dal D. Lgs n. 39/2013 ed in particolare l’insussistenza delle cause di cui ai seguenti artt. 9, 11, 12: </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Art. 9</w:t>
      </w:r>
      <w:r>
        <w:rPr>
          <w:rFonts w:ascii="Garamond" w:hAnsi="Garamond" w:cs="Garamond" w:eastAsia="Garamond"/>
          <w:color w:val="auto"/>
          <w:spacing w:val="0"/>
          <w:position w:val="0"/>
          <w:sz w:val="24"/>
          <w:shd w:fill="auto" w:val="clear"/>
        </w:rPr>
        <w:t xml:space="preserve"> – Incompatibilità tra incarichi e cariche in enti di diritto privato regolati o finanziati nonché tra gli stessi incarichi e le attività professionali;</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Art. 11</w:t>
      </w:r>
      <w:r>
        <w:rPr>
          <w:rFonts w:ascii="Garamond" w:hAnsi="Garamond" w:cs="Garamond" w:eastAsia="Garamond"/>
          <w:color w:val="auto"/>
          <w:spacing w:val="0"/>
          <w:position w:val="0"/>
          <w:sz w:val="24"/>
          <w:shd w:fill="auto" w:val="clear"/>
        </w:rPr>
        <w:t xml:space="preserve"> – Incompatibilità tra incarichi amministrativi di vertice e di amministratore di ente pubblico e cariche di componenti degli organi di indirizzo nelle amministrazioni statali, regionali e locali;</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Art. 12</w:t>
      </w:r>
      <w:r>
        <w:rPr>
          <w:rFonts w:ascii="Garamond" w:hAnsi="Garamond" w:cs="Garamond" w:eastAsia="Garamond"/>
          <w:color w:val="auto"/>
          <w:spacing w:val="0"/>
          <w:position w:val="0"/>
          <w:sz w:val="24"/>
          <w:shd w:fill="auto" w:val="clear"/>
        </w:rPr>
        <w:t xml:space="preserve"> – Incompatibilità tra incarichi dirigenziali interni e esterni e cariche di componenti degli organi di indirizzo nelle amministrazioni statali, regionali e locali.</w:t>
      </w:r>
    </w:p>
    <w:p>
      <w:pPr>
        <w:spacing w:before="0" w:after="0" w:line="360"/>
        <w:ind w:right="0" w:left="0" w:firstLine="0"/>
        <w:jc w:val="left"/>
        <w:rPr>
          <w:rFonts w:ascii="Garamond" w:hAnsi="Garamond" w:cs="Garamond" w:eastAsia="Garamond"/>
          <w:color w:val="auto"/>
          <w:spacing w:val="0"/>
          <w:position w:val="0"/>
          <w:sz w:val="16"/>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Oppure</w:t>
      </w:r>
    </w:p>
    <w:p>
      <w:pPr>
        <w:spacing w:before="0" w:after="0" w:line="360"/>
        <w:ind w:right="0" w:left="0" w:firstLine="0"/>
        <w:jc w:val="left"/>
        <w:rPr>
          <w:rFonts w:ascii="Garamond" w:hAnsi="Garamond" w:cs="Garamond" w:eastAsia="Garamond"/>
          <w:color w:val="auto"/>
          <w:spacing w:val="0"/>
          <w:position w:val="0"/>
          <w:sz w:val="16"/>
          <w:shd w:fill="auto" w:val="clear"/>
        </w:rPr>
      </w:pPr>
    </w:p>
    <w:p>
      <w:pPr>
        <w:spacing w:before="0" w:after="0" w:line="360"/>
        <w:ind w:right="0" w:left="0" w:hanging="426"/>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32"/>
          <w:shd w:fill="auto" w:val="clear"/>
        </w:rPr>
        <w:t xml:space="preserve"> </w:t>
      </w:r>
      <w:r>
        <w:rPr>
          <w:rFonts w:ascii="Garamond" w:hAnsi="Garamond" w:cs="Garamond" w:eastAsia="Garamond"/>
          <w:color w:val="auto"/>
          <w:spacing w:val="0"/>
          <w:position w:val="0"/>
          <w:sz w:val="24"/>
          <w:shd w:fill="auto" w:val="clear"/>
        </w:rPr>
        <w:t xml:space="preserve">la sussistenza delle seguenti cause di incompatibilità dell’incarico previste dal D. Lgs n. 39/2013, (lo svolgimento degli incarichi, delle cariche e delle attività professionali ovvero della carica di componente di organi di indirizzo politico):</w:t>
      </w:r>
    </w:p>
    <w:p>
      <w:pPr>
        <w:spacing w:before="0" w:after="0" w:line="360"/>
        <w:ind w:right="0" w:left="0" w:hanging="426"/>
        <w:jc w:val="both"/>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16"/>
          <w:shd w:fill="auto" w:val="clear"/>
        </w:rPr>
      </w:pPr>
      <w:r>
        <w:rPr>
          <w:rFonts w:ascii="Garamond" w:hAnsi="Garamond" w:cs="Garamond" w:eastAsia="Garamond"/>
          <w:color w:val="auto"/>
          <w:spacing w:val="0"/>
          <w:position w:val="0"/>
          <w:sz w:val="24"/>
          <w:shd w:fill="auto" w:val="clear"/>
        </w:rPr>
        <w:t xml:space="preserve">    </w:t>
      </w: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360"/>
        <w:ind w:right="0" w:left="0" w:firstLine="0"/>
        <w:jc w:val="both"/>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Il/La sottoscritto/a, al fine di consentire al Comune di Napoli le verifiche sulla veridicità delle dichiarazioni rese, dichiara di svolgere i seguenti incarichi, cariche e attività professionali ovvero di ricoprire o di aver ricoperto le seguenti cariche di componente di organi di indirizzo politico:</w:t>
      </w:r>
    </w:p>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 </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Il/La sottoscritto/a si impegna a comunicare tempestivamente eventuali variazioni del contenuto della presente dichiarazione e, in ogni caso, a presentare dichiarazione annuale sull’insussistenza di tutte le indicate cause di incompatibilità ai sensi dell’art. 20 comma 2 del D. Lgs. n. 39/2013.</w:t>
      </w:r>
    </w:p>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Il/La sottoscritto/a dichiara di essere informato/a che, ai sensi dell’art. 20 comma 3 del D. Lgs. n. 39/2013, la presente dichiarazione sarà pubblicata nella sezione “Amministrazione Trasparente” del sito web istituzionale del Comune di Napoli. </w:t>
      </w:r>
    </w:p>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Il/La sottoscritto/a dichiara di essere stato informato/a, ai sensi dell’art.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pPr>
        <w:spacing w:before="0" w:after="0" w:line="240"/>
        <w:ind w:right="0" w:left="0" w:firstLine="0"/>
        <w:jc w:val="both"/>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Si allega alla presente dichiarazione copia fotostatica non autenticata di un documento di identità in corso di validità.</w:t>
      </w:r>
    </w:p>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1" w:hRule="atLeast"/>
          <w:jc w:val="left"/>
        </w:trPr>
        <w:tc>
          <w:tcPr>
            <w:tcW w:w="488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uppressAutoHyphens w:val="true"/>
              <w:spacing w:before="0" w:after="0" w:line="240"/>
              <w:ind w:right="0" w:left="0"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Luogo e data</w:t>
            </w:r>
          </w:p>
          <w:p>
            <w:pPr>
              <w:suppressAutoHyphens w:val="true"/>
              <w:spacing w:before="0" w:after="0" w:line="240"/>
              <w:ind w:right="0" w:left="0" w:firstLine="0"/>
              <w:jc w:val="left"/>
              <w:rPr>
                <w:color w:val="auto"/>
                <w:spacing w:val="0"/>
                <w:position w:val="0"/>
              </w:rPr>
            </w:pPr>
            <w:r>
              <w:rPr>
                <w:rFonts w:ascii="Garamond" w:hAnsi="Garamond" w:cs="Garamond" w:eastAsia="Garamond"/>
                <w:color w:val="auto"/>
                <w:spacing w:val="0"/>
                <w:position w:val="0"/>
                <w:sz w:val="24"/>
                <w:shd w:fill="auto" w:val="clear"/>
              </w:rPr>
              <w:t xml:space="preserve">Napoli, 20 aprile 2018</w:t>
            </w:r>
          </w:p>
        </w:tc>
        <w:tc>
          <w:tcPr>
            <w:tcW w:w="488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uppressAutoHyphens w:val="true"/>
              <w:spacing w:before="0" w:after="0" w:line="240"/>
              <w:ind w:right="0" w:left="0" w:firstLine="0"/>
              <w:jc w:val="center"/>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Il Dichiarante</w:t>
            </w:r>
          </w:p>
          <w:p>
            <w:pPr>
              <w:suppressAutoHyphens w:val="true"/>
              <w:spacing w:before="0" w:after="0" w:line="240"/>
              <w:ind w:right="0" w:left="0" w:firstLine="0"/>
              <w:jc w:val="center"/>
              <w:rPr>
                <w:rFonts w:ascii="Garamond" w:hAnsi="Garamond" w:cs="Garamond" w:eastAsia="Garamond"/>
                <w:i/>
                <w:color w:val="auto"/>
                <w:spacing w:val="0"/>
                <w:position w:val="0"/>
                <w:sz w:val="24"/>
                <w:shd w:fill="auto" w:val="clear"/>
              </w:rPr>
            </w:pPr>
          </w:p>
          <w:p>
            <w:pPr>
              <w:suppressAutoHyphens w:val="true"/>
              <w:spacing w:before="0" w:after="0" w:line="24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F.to  Domenico Annunziata</w:t>
            </w:r>
          </w:p>
          <w:p>
            <w:pPr>
              <w:suppressAutoHyphens w:val="true"/>
              <w:spacing w:before="0" w:after="0" w:line="240"/>
              <w:ind w:right="0" w:left="0" w:firstLine="0"/>
              <w:jc w:val="left"/>
              <w:rPr>
                <w:color w:val="auto"/>
                <w:spacing w:val="0"/>
                <w:position w:val="0"/>
              </w:rPr>
            </w:pPr>
          </w:p>
        </w:tc>
      </w:tr>
    </w:tbl>
    <w:p>
      <w:pPr>
        <w:spacing w:before="0" w:after="0" w:line="360"/>
        <w:ind w:right="0" w:left="0" w:firstLine="0"/>
        <w:jc w:val="left"/>
        <w:rPr>
          <w:rFonts w:ascii="Garamond" w:hAnsi="Garamond" w:cs="Garamond" w:eastAsia="Garamond"/>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