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QUADRI ECONOMICI – PNRR REGIONE</w:t>
      </w:r>
    </w:p>
    <w:p>
      <w:pPr>
        <w:pStyle w:val="Titolo2"/>
        <w:rPr>
          <w:rFonts w:ascii="Calibri" w:hAnsi="Calibri" w:eastAsia="Calibri" w:cs="Calibri" w:asciiTheme="minorHAnsi" w:cstheme="minorHAnsi" w:eastAsiaTheme="minorHAnsi" w:hAnsiTheme="minorHAnsi"/>
          <w:sz w:val="28"/>
          <w:szCs w:val="22"/>
          <w:lang w:eastAsia="en-US"/>
        </w:rPr>
      </w:pPr>
      <w:r>
        <w:rPr>
          <w:rFonts w:eastAsia="Calibri" w:cs="" w:ascii="Calibri" w:hAnsi="Calibri" w:asciiTheme="minorHAnsi" w:cstheme="minorBidi" w:eastAsiaTheme="minorHAnsi" w:hAnsiTheme="minorHAnsi"/>
          <w:sz w:val="28"/>
          <w:szCs w:val="22"/>
          <w:lang w:eastAsia="en-US"/>
        </w:rPr>
        <w:t>MUNICIPALIT</w:t>
      </w:r>
      <w:r>
        <w:rPr>
          <w:rFonts w:eastAsia="Calibri" w:cs="Calibri" w:ascii="Calibri" w:hAnsi="Calibri" w:asciiTheme="minorHAnsi" w:cstheme="minorHAnsi" w:eastAsiaTheme="minorHAnsi" w:hAnsiTheme="minorHAnsi"/>
          <w:sz w:val="28"/>
          <w:szCs w:val="22"/>
          <w:lang w:eastAsia="en-US"/>
        </w:rPr>
        <w:t>À 7</w:t>
      </w:r>
    </w:p>
    <w:p>
      <w:pPr>
        <w:pStyle w:val="Normal"/>
        <w:rPr>
          <w:rFonts w:cs="Calibri" w:cstheme="minorHAnsi"/>
          <w:i/>
          <w:i/>
          <w:sz w:val="24"/>
          <w:szCs w:val="24"/>
        </w:rPr>
      </w:pPr>
      <w:r>
        <w:rPr>
          <w:rFonts w:cs="Calibri" w:cstheme="minorHAnsi"/>
          <w:i/>
          <w:sz w:val="24"/>
          <w:szCs w:val="24"/>
        </w:rPr>
        <w:t xml:space="preserve">Adeguamento sismico ed efficientamento energetico dell’I.C. 82 S. D’Acquisto (ex Rosa Taddei) </w:t>
      </w:r>
    </w:p>
    <w:tbl>
      <w:tblPr>
        <w:tblStyle w:val="Grigliatabella"/>
        <w:tblW w:w="718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79"/>
        <w:gridCol w:w="1800"/>
      </w:tblGrid>
      <w:tr>
        <w:trPr>
          <w:trHeight w:val="315" w:hRule="atLeast"/>
        </w:trPr>
        <w:tc>
          <w:tcPr>
            <w:tcW w:w="53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b/>
                <w:bCs/>
                <w:i/>
                <w:kern w:val="0"/>
                <w:sz w:val="24"/>
                <w:szCs w:val="24"/>
                <w:lang w:val="it-IT" w:eastAsia="en-US" w:bidi="ar-SA"/>
              </w:rPr>
              <w:t>Tipologia di Costo</w:t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b/>
                <w:bCs/>
                <w:i/>
                <w:kern w:val="0"/>
                <w:sz w:val="24"/>
                <w:szCs w:val="24"/>
                <w:lang w:val="it-IT" w:eastAsia="en-US" w:bidi="ar-SA"/>
              </w:rPr>
              <w:t>Importo</w:t>
            </w:r>
          </w:p>
        </w:tc>
      </w:tr>
      <w:tr>
        <w:trPr>
          <w:trHeight w:val="315" w:hRule="atLeast"/>
        </w:trPr>
        <w:tc>
          <w:tcPr>
            <w:tcW w:w="53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b/>
                <w:bCs/>
                <w:i/>
                <w:kern w:val="0"/>
                <w:sz w:val="24"/>
                <w:szCs w:val="24"/>
                <w:lang w:val="it-IT" w:eastAsia="en-US" w:bidi="ar-SA"/>
              </w:rPr>
              <w:t>A) Lavori</w:t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5.240.203,08 €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A1) Demolizioni</w:t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1.048.040,62 €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A2) Edilizia</w:t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2.358.091,39 €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A3) Strutture</w:t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1.048.040,62 €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A4) Impianti</w:t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786.030,46 €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b/>
                <w:bCs/>
                <w:i/>
                <w:kern w:val="0"/>
                <w:sz w:val="24"/>
                <w:szCs w:val="24"/>
                <w:lang w:val="it-IT" w:eastAsia="en-US" w:bidi="ar-SA"/>
              </w:rPr>
              <w:t>B1) Spese tecniche per incarichi esterni</w:t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478.824,37 €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b/>
                <w:bCs/>
                <w:i/>
                <w:kern w:val="0"/>
                <w:sz w:val="24"/>
                <w:szCs w:val="24"/>
                <w:lang w:val="it-IT" w:eastAsia="en-US" w:bidi="ar-SA"/>
              </w:rPr>
              <w:t>B2) Contributo reclutamento personale (eventuale)</w:t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380.000,00 €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b/>
                <w:bCs/>
                <w:i/>
                <w:kern w:val="0"/>
                <w:sz w:val="24"/>
                <w:szCs w:val="24"/>
                <w:lang w:val="it-IT" w:eastAsia="en-US" w:bidi="ar-SA"/>
              </w:rPr>
              <w:t>C) Incentivi funzioni tecniche</w:t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83.843,25 €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b/>
                <w:bCs/>
                <w:i/>
                <w:kern w:val="0"/>
                <w:sz w:val="24"/>
                <w:szCs w:val="24"/>
                <w:lang w:val="it-IT" w:eastAsia="en-US" w:bidi="ar-SA"/>
              </w:rPr>
              <w:t>D) Altri costi</w:t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53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D1) Imprevisti</w:t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269.307,85 €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D2) IVA</w:t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1.152.844,68 €</w:t>
            </w:r>
          </w:p>
        </w:tc>
      </w:tr>
      <w:tr>
        <w:trPr>
          <w:trHeight w:val="315" w:hRule="atLeast"/>
        </w:trPr>
        <w:tc>
          <w:tcPr>
            <w:tcW w:w="53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b/>
                <w:bCs/>
                <w:i/>
                <w:kern w:val="0"/>
                <w:sz w:val="24"/>
                <w:szCs w:val="24"/>
                <w:lang w:val="it-IT" w:eastAsia="en-US" w:bidi="ar-SA"/>
              </w:rPr>
              <w:t xml:space="preserve">E) Pubblicità </w:t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i/>
                <w:kern w:val="0"/>
                <w:sz w:val="24"/>
                <w:szCs w:val="24"/>
                <w:lang w:val="it-IT" w:eastAsia="en-US" w:bidi="ar-SA"/>
              </w:rPr>
              <w:t>26.201,02 €</w:t>
            </w:r>
          </w:p>
        </w:tc>
      </w:tr>
      <w:tr>
        <w:trPr>
          <w:trHeight w:val="900" w:hRule="atLeast"/>
        </w:trPr>
        <w:tc>
          <w:tcPr>
            <w:tcW w:w="537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b/>
                <w:bCs/>
                <w:i/>
                <w:kern w:val="0"/>
                <w:sz w:val="24"/>
                <w:szCs w:val="24"/>
                <w:lang w:val="it-IT" w:eastAsia="en-US" w:bidi="ar-SA"/>
              </w:rPr>
              <w:t>TOTALE</w:t>
            </w:r>
          </w:p>
        </w:tc>
        <w:tc>
          <w:tcPr>
            <w:tcW w:w="180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cs="Calibri" w:cstheme="minorHAnsi"/>
                <w:b/>
                <w:b/>
                <w:bCs/>
                <w:i/>
                <w:i/>
                <w:sz w:val="24"/>
                <w:szCs w:val="24"/>
              </w:rPr>
            </w:pPr>
            <w:r>
              <w:rPr>
                <w:rFonts w:eastAsia="Calibri" w:cs="Calibri" w:cstheme="minorHAnsi"/>
                <w:b/>
                <w:bCs/>
                <w:i/>
                <w:kern w:val="0"/>
                <w:sz w:val="24"/>
                <w:szCs w:val="24"/>
                <w:lang w:val="it-IT" w:eastAsia="en-US" w:bidi="ar-SA"/>
              </w:rPr>
              <w:t>7.631.224,25 €</w:t>
            </w:r>
          </w:p>
        </w:tc>
      </w:tr>
    </w:tbl>
    <w:p>
      <w:pPr>
        <w:pStyle w:val="Normal"/>
        <w:rPr>
          <w:rFonts w:cs="Calibri" w:cstheme="minorHAnsi"/>
          <w:i/>
          <w:i/>
          <w:sz w:val="24"/>
          <w:szCs w:val="24"/>
        </w:rPr>
      </w:pPr>
      <w:r>
        <w:rPr>
          <w:rFonts w:cs="Calibri" w:cstheme="minorHAnsi"/>
          <w:i/>
          <w:sz w:val="24"/>
          <w:szCs w:val="24"/>
        </w:rPr>
      </w:r>
    </w:p>
    <w:p>
      <w:pPr>
        <w:pStyle w:val="Titolo2"/>
        <w:rPr>
          <w:rFonts w:ascii="Calibri" w:hAnsi="Calibri" w:eastAsia="Calibri" w:cs="Calibri" w:asciiTheme="minorHAnsi" w:cstheme="minorHAnsi" w:eastAsiaTheme="minorHAnsi" w:hAnsiTheme="minorHAnsi"/>
          <w:sz w:val="28"/>
          <w:szCs w:val="22"/>
          <w:lang w:eastAsia="en-US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aramond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next w:val="Normal"/>
    <w:link w:val="Titolo1Carattere"/>
    <w:uiPriority w:val="9"/>
    <w:qFormat/>
    <w:rsid w:val="00e35d3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Titolo2">
    <w:name w:val="Heading 2"/>
    <w:basedOn w:val="Normal"/>
    <w:next w:val="Normal"/>
    <w:link w:val="Titolo2Carattere"/>
    <w:qFormat/>
    <w:rsid w:val="005a53ef"/>
    <w:pPr>
      <w:keepNext w:val="true"/>
      <w:spacing w:lineRule="auto" w:line="240" w:before="0" w:after="0"/>
      <w:outlineLvl w:val="1"/>
    </w:pPr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itolo2Carattere" w:customStyle="1">
    <w:name w:val="Titolo 2 Carattere"/>
    <w:basedOn w:val="DefaultParagraphFont"/>
    <w:qFormat/>
    <w:rsid w:val="005a53ef"/>
    <w:rPr>
      <w:rFonts w:ascii="Times New Roman" w:hAnsi="Times New Roman" w:eastAsia="Times New Roman" w:cs="Times New Roman"/>
      <w:b/>
      <w:sz w:val="24"/>
      <w:szCs w:val="20"/>
      <w:lang w:eastAsia="it-IT"/>
    </w:rPr>
  </w:style>
  <w:style w:type="character" w:styleId="Titolo1Carattere" w:customStyle="1">
    <w:name w:val="Titolo 1 Carattere"/>
    <w:basedOn w:val="DefaultParagraphFont"/>
    <w:uiPriority w:val="9"/>
    <w:qFormat/>
    <w:rsid w:val="00e35d37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ableParagraph" w:customStyle="1">
    <w:name w:val="Table Paragraph"/>
    <w:basedOn w:val="Normal"/>
    <w:uiPriority w:val="1"/>
    <w:qFormat/>
    <w:rsid w:val="00e35d37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Default" w:customStyle="1">
    <w:name w:val="Default"/>
    <w:qFormat/>
    <w:rsid w:val="008f14d1"/>
    <w:pPr>
      <w:widowControl/>
      <w:bidi w:val="0"/>
      <w:spacing w:lineRule="auto" w:line="240" w:before="0" w:after="0"/>
      <w:jc w:val="left"/>
    </w:pPr>
    <w:rPr>
      <w:rFonts w:ascii="Garamond" w:hAnsi="Garamond" w:cs="Garamond" w:eastAsia="Calibri"/>
      <w:color w:val="000000"/>
      <w:kern w:val="0"/>
      <w:sz w:val="24"/>
      <w:szCs w:val="24"/>
      <w:lang w:val="it-IT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e35d37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59323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LibreOffice/7.3.3.2$Windows_X86_64 LibreOffice_project/d1d0ea68f081ee2800a922cac8f79445e4603348</Application>
  <AppVersion>15.0000</AppVersion>
  <Pages>1</Pages>
  <Words>81</Words>
  <Characters>499</Characters>
  <CharactersWithSpaces>554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2022-09-15T07:39:00Z</dcterms:created>
  <dc:creator>Fabio Di Giovanni</dc:creator>
  <dc:description/>
  <dc:language>it-IT</dc:language>
  <cp:lastModifiedBy/>
  <dcterms:modified xsi:type="dcterms:W3CDTF">2022-09-20T12:01:03Z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