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05E51" w:rsidP="005C0DE0">
      <w:pPr>
        <w:pStyle w:val="NormaleWeb"/>
        <w:spacing w:before="0" w:beforeAutospacing="0" w:after="0" w:afterAutospacing="0" w:line="360" w:lineRule="auto"/>
        <w:jc w:val="both"/>
        <w:rPr>
          <w:rFonts w:ascii="Garamond" w:hAnsi="Garamond"/>
        </w:rPr>
      </w:pPr>
      <w:r w:rsidRPr="00F05E51">
        <w:rPr>
          <w:rFonts w:ascii="Garamond" w:hAnsi="Garamond"/>
        </w:rPr>
        <w:t xml:space="preserve">Il sottoscritto Giovanni </w:t>
      </w:r>
      <w:proofErr w:type="spellStart"/>
      <w:r w:rsidRPr="00F05E51">
        <w:rPr>
          <w:rFonts w:ascii="Garamond" w:hAnsi="Garamond"/>
        </w:rPr>
        <w:t>Paonessa</w:t>
      </w:r>
      <w:proofErr w:type="spellEnd"/>
      <w:r w:rsidRPr="00F05E51">
        <w:rPr>
          <w:rFonts w:ascii="Garamond" w:hAnsi="Garamond"/>
        </w:rPr>
        <w:t>, nato a Napoli il 08/07/1955, in riferimento all’incarico di Dirigente del Servizio Diritto all’istruzione e del Servizio Educativo e scuole comunali del 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661EFB">
        <w:rPr>
          <w:rFonts w:ascii="Garamond" w:hAnsi="Garamond"/>
          <w:sz w:val="32"/>
          <w:szCs w:val="32"/>
        </w:rPr>
      </w:r>
      <w:r w:rsidR="00661EFB">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661EFB">
        <w:rPr>
          <w:rFonts w:ascii="Garamond" w:hAnsi="Garamond"/>
          <w:sz w:val="32"/>
          <w:szCs w:val="32"/>
        </w:rPr>
      </w:r>
      <w:r w:rsidR="00661EFB">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661EFB">
        <w:rPr>
          <w:rFonts w:ascii="Garamond" w:hAnsi="Garamond"/>
          <w:sz w:val="32"/>
          <w:szCs w:val="32"/>
        </w:rPr>
      </w:r>
      <w:r w:rsidR="00661EFB">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661EFB">
        <w:rPr>
          <w:rFonts w:ascii="Garamond" w:hAnsi="Garamond"/>
          <w:sz w:val="32"/>
          <w:szCs w:val="32"/>
        </w:rPr>
      </w:r>
      <w:r w:rsidR="00661EFB">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jc w:val="center"/>
        <w:tblLook w:val="04A0" w:firstRow="1" w:lastRow="0" w:firstColumn="1" w:lastColumn="0" w:noHBand="0" w:noVBand="1"/>
      </w:tblPr>
      <w:tblGrid>
        <w:gridCol w:w="4889"/>
        <w:gridCol w:w="4889"/>
      </w:tblGrid>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26D03"/>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26D03" w:rsidRPr="001E625A" w:rsidRDefault="00B26D03" w:rsidP="00BD2EC9">
            <w:r w:rsidRPr="001E625A">
              <w:t>Comune di Napoli</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1E625A" w:rsidRDefault="00B26D03" w:rsidP="00497926">
            <w:r w:rsidRPr="001E625A">
              <w:t xml:space="preserve">Dirigente </w:t>
            </w:r>
            <w:proofErr w:type="spellStart"/>
            <w:r w:rsidRPr="001E625A">
              <w:t>t.d</w:t>
            </w:r>
            <w:proofErr w:type="spellEnd"/>
            <w:r w:rsidRPr="001E625A">
              <w:t xml:space="preserve">. - Servizio </w:t>
            </w:r>
            <w:r w:rsidR="00497926">
              <w:t>Contrasto delle nuove povertà e rete delle emergenze sociali</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1E625A" w:rsidRDefault="00497926" w:rsidP="00BD2EC9">
            <w:r>
              <w:t>20</w:t>
            </w:r>
            <w:r w:rsidR="00B26D03" w:rsidRPr="001E625A">
              <w:t>/12/2013</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497926" w:rsidP="00BD2EC9">
            <w:r>
              <w:t>31/12/2014</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134DA5">
        <w:trPr>
          <w:trHeight w:val="454"/>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2E1F38" w:rsidRDefault="00B26D03" w:rsidP="00D9061F">
            <w:r w:rsidRPr="002E1F38">
              <w:t>Comune di Napoli</w:t>
            </w:r>
          </w:p>
        </w:tc>
      </w:tr>
      <w:tr w:rsidR="00B26D03" w:rsidTr="00134DA5">
        <w:trPr>
          <w:trHeight w:val="454"/>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2E1F38" w:rsidRDefault="00B26D03" w:rsidP="00497926">
            <w:r w:rsidRPr="002E1F38">
              <w:t xml:space="preserve">Dirigente </w:t>
            </w:r>
            <w:proofErr w:type="spellStart"/>
            <w:r w:rsidRPr="002E1F38">
              <w:t>t.d</w:t>
            </w:r>
            <w:proofErr w:type="spellEnd"/>
            <w:r w:rsidRPr="002E1F38">
              <w:t xml:space="preserve">. – Servizio </w:t>
            </w:r>
            <w:r w:rsidR="00497926">
              <w:t>Educativo e Scuole comunali</w:t>
            </w:r>
          </w:p>
        </w:tc>
      </w:tr>
      <w:tr w:rsidR="00B26D03" w:rsidTr="00134DA5">
        <w:trPr>
          <w:trHeight w:val="454"/>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2E1F38" w:rsidRDefault="00497926" w:rsidP="00D9061F">
            <w:r>
              <w:t>20/12/2013</w:t>
            </w:r>
          </w:p>
        </w:tc>
      </w:tr>
      <w:tr w:rsidR="00B26D03" w:rsidTr="00134DA5">
        <w:trPr>
          <w:trHeight w:val="454"/>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D9061F">
            <w:r w:rsidRPr="002E1F38">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497926" w:rsidP="00724F57">
            <w:pPr>
              <w:pStyle w:val="NormaleWeb"/>
              <w:spacing w:before="0" w:beforeAutospacing="0" w:after="0" w:afterAutospacing="0"/>
              <w:rPr>
                <w:rFonts w:ascii="Garamond" w:hAnsi="Garamond"/>
              </w:rPr>
            </w:pPr>
            <w:r>
              <w:rPr>
                <w:rFonts w:ascii="Garamond" w:hAnsi="Garamond"/>
              </w:rPr>
              <w:t>Comune di Napoli</w:t>
            </w: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497926" w:rsidP="00497926">
            <w:pPr>
              <w:pStyle w:val="NormaleWeb"/>
              <w:spacing w:before="0" w:beforeAutospacing="0" w:after="0" w:afterAutospacing="0"/>
              <w:rPr>
                <w:rFonts w:ascii="Garamond" w:hAnsi="Garamond"/>
              </w:rPr>
            </w:pPr>
            <w:r>
              <w:rPr>
                <w:rFonts w:ascii="Garamond" w:hAnsi="Garamond"/>
              </w:rPr>
              <w:t xml:space="preserve">Dirigente </w:t>
            </w:r>
            <w:proofErr w:type="spellStart"/>
            <w:r>
              <w:rPr>
                <w:rFonts w:ascii="Garamond" w:hAnsi="Garamond"/>
              </w:rPr>
              <w:t>t.d</w:t>
            </w:r>
            <w:proofErr w:type="spellEnd"/>
            <w:r>
              <w:rPr>
                <w:rFonts w:ascii="Garamond" w:hAnsi="Garamond"/>
              </w:rPr>
              <w:t>. – Servizio Diritto all’istruzione</w:t>
            </w: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497926" w:rsidP="00724F57">
            <w:pPr>
              <w:pStyle w:val="NormaleWeb"/>
              <w:spacing w:before="0" w:beforeAutospacing="0" w:after="0" w:afterAutospacing="0"/>
              <w:rPr>
                <w:rFonts w:ascii="Garamond" w:hAnsi="Garamond"/>
              </w:rPr>
            </w:pPr>
            <w:r>
              <w:rPr>
                <w:rFonts w:ascii="Garamond" w:hAnsi="Garamond"/>
              </w:rPr>
              <w:t>06/11/2014</w:t>
            </w: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497926" w:rsidP="00724F57">
            <w:pPr>
              <w:pStyle w:val="NormaleWeb"/>
              <w:spacing w:before="0" w:beforeAutospacing="0" w:after="0" w:afterAutospacing="0"/>
              <w:rPr>
                <w:rFonts w:ascii="Garamond" w:hAnsi="Garamond"/>
              </w:rPr>
            </w:pPr>
            <w:r>
              <w:rPr>
                <w:rFonts w:ascii="Garamond" w:hAnsi="Garamond"/>
              </w:rPr>
              <w:t>in corso</w:t>
            </w: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 xml:space="preserve">art. 13 del Decreto legislativo 30 giugno 2003, n. 196 “Codice in materia di protezione dei dati personali” circa il trattamento dei dati raccolti, ed </w:t>
      </w:r>
      <w:r w:rsidR="00C32AA1" w:rsidRPr="00C32AA1">
        <w:rPr>
          <w:rFonts w:ascii="Garamond" w:hAnsi="Garamond"/>
        </w:rPr>
        <w:lastRenderedPageBreak/>
        <w:t>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D7318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N</w:t>
            </w:r>
            <w:r w:rsidR="00DE5AC0">
              <w:rPr>
                <w:rFonts w:ascii="Garamond" w:eastAsia="SimSun" w:hAnsi="Garamond"/>
                <w:kern w:val="1"/>
                <w:sz w:val="24"/>
                <w:szCs w:val="24"/>
                <w:lang w:eastAsia="hi-IN" w:bidi="hi-IN"/>
              </w:rPr>
              <w:t>apoli,  30</w:t>
            </w:r>
            <w:r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661EFB" w:rsidP="00497926">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F.to </w:t>
            </w:r>
            <w:bookmarkStart w:id="4" w:name="_GoBack"/>
            <w:bookmarkEnd w:id="4"/>
            <w:r w:rsidR="00497926">
              <w:rPr>
                <w:rFonts w:ascii="Garamond" w:eastAsia="SimSun" w:hAnsi="Garamond"/>
                <w:kern w:val="1"/>
                <w:sz w:val="24"/>
                <w:szCs w:val="24"/>
                <w:lang w:eastAsia="hi-IN" w:bidi="hi-IN"/>
              </w:rPr>
              <w:t xml:space="preserve">Giovanni </w:t>
            </w:r>
            <w:proofErr w:type="spellStart"/>
            <w:r w:rsidR="00497926">
              <w:rPr>
                <w:rFonts w:ascii="Garamond" w:eastAsia="SimSun" w:hAnsi="Garamond"/>
                <w:kern w:val="1"/>
                <w:sz w:val="24"/>
                <w:szCs w:val="24"/>
                <w:lang w:eastAsia="hi-IN" w:bidi="hi-IN"/>
              </w:rPr>
              <w:t>Paonessa</w:t>
            </w:r>
            <w:proofErr w:type="spellEnd"/>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112899"/>
    <w:rsid w:val="00175A0B"/>
    <w:rsid w:val="001F54EB"/>
    <w:rsid w:val="0020685C"/>
    <w:rsid w:val="0020705C"/>
    <w:rsid w:val="00211A4B"/>
    <w:rsid w:val="002139CD"/>
    <w:rsid w:val="00213F42"/>
    <w:rsid w:val="00257E21"/>
    <w:rsid w:val="0029110E"/>
    <w:rsid w:val="002F0AC7"/>
    <w:rsid w:val="00337C10"/>
    <w:rsid w:val="0035799A"/>
    <w:rsid w:val="003E289B"/>
    <w:rsid w:val="0044034F"/>
    <w:rsid w:val="00497926"/>
    <w:rsid w:val="004A1E6D"/>
    <w:rsid w:val="004B4FA0"/>
    <w:rsid w:val="004C284D"/>
    <w:rsid w:val="004C38BF"/>
    <w:rsid w:val="004E7503"/>
    <w:rsid w:val="005C0DE0"/>
    <w:rsid w:val="005C47EA"/>
    <w:rsid w:val="005D447A"/>
    <w:rsid w:val="0060364C"/>
    <w:rsid w:val="0061058F"/>
    <w:rsid w:val="00643592"/>
    <w:rsid w:val="00661EFB"/>
    <w:rsid w:val="006C0872"/>
    <w:rsid w:val="006C28B2"/>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26D03"/>
    <w:rsid w:val="00B6036D"/>
    <w:rsid w:val="00C32AA1"/>
    <w:rsid w:val="00D67805"/>
    <w:rsid w:val="00D7318C"/>
    <w:rsid w:val="00DE5AC0"/>
    <w:rsid w:val="00DF2993"/>
    <w:rsid w:val="00E33C17"/>
    <w:rsid w:val="00E463FE"/>
    <w:rsid w:val="00E85D09"/>
    <w:rsid w:val="00ED0A61"/>
    <w:rsid w:val="00ED6118"/>
    <w:rsid w:val="00F05E51"/>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DE2635-9EED-4F7D-8827-7931A48A4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5079</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2016-12-30T09:07:00Z</cp:lastPrinted>
  <dcterms:created xsi:type="dcterms:W3CDTF">2016-12-30T09:07:00Z</dcterms:created>
  <dcterms:modified xsi:type="dcterms:W3CDTF">2016-12-30T09:07:00Z</dcterms:modified>
</cp:coreProperties>
</file>